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B5" w:rsidRPr="000639B5" w:rsidRDefault="000639B5" w:rsidP="000639B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0639B5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§ 0—3. Особенности строения вегетативных органов растений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0639B5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Органы растений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После выхода на сушу у растений возникла необходимость приспособиться к низкой плотности воздушной среды, к резким перепадам температуры и влажности, к получению минеральных веществ из почвы. В связи с этими особенностями среды у наземных растений из тканей сформировались органы.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Орган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 это часть растения, состоящая из нескольких тканей, занимающая определенное положение в теле растения и выполняющая специфическую функцию. В зависимости от роли все органы растений разделяют на две группы: вегетативные и генеративные (репродуктивные).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Вегетативные органы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образуют тело растения, осуществляют процессы жизнедеятельности и вегетативное размножение.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Генеративные органы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отвечают за процессы полового размножения растений.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Главную роль в процессах жизнедеятельности растений играют корень, стебель и лист. Рассмотрим более подробно особенности этих органов (см. табл.).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Таблица. </w:t>
      </w:r>
      <w:r w:rsidRPr="000639B5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Особенности вегетативных органов растений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7"/>
        <w:gridCol w:w="2214"/>
        <w:gridCol w:w="2286"/>
        <w:gridCol w:w="2548"/>
      </w:tblGrid>
      <w:tr w:rsidR="000639B5" w:rsidRPr="000639B5" w:rsidTr="000639B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639B5" w:rsidRPr="000639B5" w:rsidRDefault="000639B5" w:rsidP="000639B5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639B5" w:rsidRPr="000639B5" w:rsidRDefault="000639B5" w:rsidP="000639B5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639B5" w:rsidRPr="000639B5" w:rsidRDefault="000639B5" w:rsidP="000639B5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Стебель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0639B5" w:rsidRPr="000639B5" w:rsidRDefault="000639B5" w:rsidP="000639B5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0639B5" w:rsidRPr="000639B5" w:rsidTr="000639B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 в растении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Осевой подземный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Осевой надземный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Боковой надземный орган</w:t>
            </w:r>
          </w:p>
        </w:tc>
      </w:tr>
      <w:tr w:rsidR="000639B5" w:rsidRPr="000639B5" w:rsidTr="000639B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симметрии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Двусторонняя (билатеральная)</w:t>
            </w:r>
          </w:p>
        </w:tc>
      </w:tr>
      <w:tr w:rsidR="000639B5" w:rsidRPr="000639B5" w:rsidTr="000639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 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Всасывание воды и минеральных веществ из почвы; закрепление растения в почве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Опора для листьев, почек, цветков, плодов; двустороннее передвижение растворенных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Фотосинтез, газообмен, транспирация</w:t>
            </w:r>
          </w:p>
        </w:tc>
      </w:tr>
      <w:tr w:rsidR="000639B5" w:rsidRPr="000639B5" w:rsidTr="000639B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Запасание питательных веществ; увеличение площади опоры; снабжение кислородом растений </w:t>
            </w: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заболоченных мест; фотосинтез у эпифитов; вегетативное размножение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Запасание питательных веществ; запасание воды у растений засушливых мест; фотосинтез у травянистых </w:t>
            </w: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растений; защита от поедания животными (колючки); вегетативное размножение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Запасание воды у растений засушливых мест; запасание питательных веществ; защита от поедания животными </w:t>
            </w: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(колючки); ловчий аппарат у насекомоядных растений; вегетативное размножение</w:t>
            </w:r>
          </w:p>
        </w:tc>
      </w:tr>
      <w:tr w:rsidR="000639B5" w:rsidRPr="000639B5" w:rsidTr="000639B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Видоизменения органа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Корнеплоды, корневые клубни (шишки), корни-прицепки, корни-присоски, дыхательные, ходульные, воздушные, втягивающие корни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Подземные побеги: клубень, луковица, корневище.</w:t>
            </w: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Надземные побеги: колючки, усики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B5" w:rsidRPr="000639B5" w:rsidRDefault="000639B5" w:rsidP="000639B5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Колючки, усики, чешуи, ловчий аппарат</w:t>
            </w:r>
          </w:p>
        </w:tc>
      </w:tr>
    </w:tbl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Далее охарактеризуем внешнее и внутреннее строение корня, стебля и листа. 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0639B5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Корень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У растений различают три вида корней: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главный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боковые и придаточные.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Главный корень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развивается из зародышевого корешка и отходит от основания стебля. Корни, которые отходят от главного корня и формируются за счет перицикла, называются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боковыми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Они могут быть нескольких порядков.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Придаточные корни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отходят от стебля и листьев, на них также могут формироваться боковые корни. Совокупность всех корней одного растения называется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корневой системой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. Тип корневой системы определяется видами корней, входящими в ее состав. Известны два типа корневых систем: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стержневая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и мочковатая.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Стержневая корневая система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(система главного корня) представлена хорошо развитым главным корнем и отходящими от него боковыми корнями. У некоторых растений со стержневой корневой системой могут образовываться придаточные корни (картофель, томаты, капуста), если имеет место окучивание (</w:t>
      </w:r>
      <w:proofErr w:type="spell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подгребание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почвы к нижней части стебля). Такой прием использует человек для улучшения минерального питания культурных растений и повышения их урожайности.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Мочковатая корневая система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(система придаточных корней) состоит из придаточных корней, от которых отходят боковые корни.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Стержневая корневая система характерна для двудольных (крапива двудомная, одуванчик лекарственный, пастушья сумка), а мочковатая — для однодольных (ландыш майский, мятлик луговой, пшеница) растений.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Исключение составляет подорожник, который имеет мочковатую корневую систему, хотя содержит две семядоли в зародыше и относится к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двудольным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При рассмотрении молодого корня в микроскоп на нем можно заметить отдельные участки: корневой чехлик, зону деления, зону растяжения и дифференциации, зону всасывания, зону проведения (см. рис. Внешнее строение).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Корневой чехлик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расположен на кончике корня и защищает 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верхушечную меристему в зоне деления от механических повреждений. Корневой чехлик — это признак корня, позволяющий отличить его от подземных побегов.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Зона деления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окружена корневым чехликом и состоит из клеток верхушечной меристемы, из которых образуются клетки всех тканей корня.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Зона растяжения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и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 дифференциации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расположена над зоной деления. Ее еще называют зоной роста, поскольку в этой зоне клетки удлиняются и обеспечивают рост корня в длину. В конце этой зоны одинаковые клетки постепенно дифференцируются на клетки тканей.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Зона всасывания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(зона корневых волосков) находится над зоной роста, и в ней выделяются ткани. Покровная ткань представлена эпидермисом, клетки которого образуют корневые волоски. Эпидермис с корневыми волосками называется </w:t>
      </w:r>
      <w:proofErr w:type="spellStart"/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ризодермой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Корневые волоски осуществляют функцию всасывания воды и минеральных веществ из почвы.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Зона проведения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следует за зоной всасывания и обеспечивает продвижение поглощенных корнем воды и минеральных веществ в надземные части растения. В этой зоне отсутствуют корневые волоски, а у многолетних древесных растений эпидермис со временем заменяется перидермой. В зоне проведения образуются боковые корни за счет деления клеток боковой меристемы — перицикла.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1BF49F37" wp14:editId="128CD235">
            <wp:extent cx="5181600" cy="2400300"/>
            <wp:effectExtent l="0" t="0" r="0" b="0"/>
            <wp:docPr id="1" name="Рисунок 1" descr="http://profil.adu.by/pluginfile.php/1271/mod_book/chapter/1406/%D0%A0%D0%B8%D1%81_0-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.adu.by/pluginfile.php/1271/mod_book/chapter/1406/%D0%A0%D0%B8%D1%81_0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Внутреннее строение корня можно рассмотреть на его поперечном разрезе в зоне всасывания (см. рис.). Снаружи корень покрыт </w:t>
      </w:r>
      <w:proofErr w:type="spellStart"/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ризодермой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Под ней находится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кора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состоящая из паренхимы, по клеткам которой вода и минеральные вещества перемещаются от корневых волосков к центральному цилиндру корня.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Центральный цилиндр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состоит из проводящих тканей —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ксилемы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флоэмы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Ксилема располагается в центре корня и образует радиальные лучи, которые чередуются с участками флоэмы. У двудольных и голосеменных растений между ксилемой и флоэмой закладывается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камбий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Он обеспечивает рост корня в толщину. У всех остальных групп растений камбий не закладывается.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0639B5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Стебель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Стебли растений отличаются большим внешним разнообразием по ряду признаков: степени одревеснения, форме поперечного сечения, характеру 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 xml:space="preserve">расположения в пространстве. По степени одревеснения стебли разделяют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на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одревесневшие (древесные) и травянистые.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 форме поперечного сечения стебли чаще всего бывают округлые, реже трехгранные (осоки), четырехгранные (шалфей, мята), ребристые (укроп, морковь), сплюснутые (рдест).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По характеру расположения в пространстве стебель может быть прямостоячий, приподнимающийся, вьющийся, лазающий, цепляющийся, стелющийся, ползучий. Несмотря на внешнее разнообразие стеблей, их ро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ст в дл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ину не ограничен и почти у всех видов растений происходит одинаково — за счет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конуса нарастания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(верхушечной меристемы).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Исключение составляют злаковые, у которых рост стебля происходит за счет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вставочной меристемы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 узлах побега (вставочный рост), так как на верхушке стебля располагается соцветие.</w:t>
      </w:r>
      <w:proofErr w:type="gramEnd"/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Чтобы понять, как происходит рост стебля в толщину, нужно рассмотреть внутреннее строение древесного стебля на примере липы (см. рис.). На поперечном срезе стебля видны четыре основных структурных компонента: кора, камбий, древесина и сердцевина.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Кора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включает пробку, первичную кору и луб (флоэму).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Пробка 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выполняет защитную функцию. Через ее чечевички осуществляется газообмен и транспирация. Клетки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первичной коры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выполняют запасающую функцию.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Луб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обеспечивает транспорт органических веществ из листьев к другим органам (нисходящий ток) благодаря наличию ситовидных трубок с клетками-спутницами. В лубе имеются лубяные волокна, которые придают стеблю гибкость и упругость.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Камбий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закладывается у двудольных и голосеменных растений между лубом и древесиной и обеспечивает рост стебля в толщину, образуя элементы луба и древесины.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Древесина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(ксилема) занимает значительную часть среза стебля. Древесина обеспечивает транспорт воды и минеральных веществ из корня в другие органы (восходящий ток) по сосудам. В ней содержатся древесные волокна, которые придают стеблю высокую прочность. В древесине четко видны зоны ежегодного прироста —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годичные кольца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Их образование объясняется сезонной активностью камбия, образующего неравноценные по размерам элементы древесины в разные периоды вегетационного сезона. Зимой камбий не функционирует. По количеству годичных колец определяют возраст растения, а по их ширине — условия его жизни.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Сердцевина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располагается в центре стебля и представлена паренхимой, выполняющей запасающую функцию.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Segoe UI" w:eastAsia="Times New Roman" w:hAnsi="Segoe UI" w:cs="Segoe UI"/>
          <w:noProof/>
          <w:color w:val="1177D1"/>
          <w:sz w:val="23"/>
          <w:szCs w:val="23"/>
          <w:lang w:eastAsia="ru-RU"/>
        </w:rPr>
        <w:lastRenderedPageBreak/>
        <w:drawing>
          <wp:inline distT="0" distB="0" distL="0" distR="0" wp14:anchorId="7E0F064D" wp14:editId="2171B70E">
            <wp:extent cx="4533900" cy="4114800"/>
            <wp:effectExtent l="0" t="0" r="0" b="0"/>
            <wp:docPr id="2" name="Рисунок 2" descr="http://profil.adu.by/pluginfile.php/1271/mod_book/chapter/1407/%D0%A0%D0%B8%D1%81_0-12.jpg?time=15852946001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.adu.by/pluginfile.php/1271/mod_book/chapter/1407/%D0%A0%D0%B8%D1%81_0-12.jpg?time=15852946001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У травянистых двудольных растений из ксилемы, камбия и флоэмы формируются проводящие пучки (см. рис.), которые располагаются кольцом вокруг сердцевины (может быть пучковое и </w:t>
      </w:r>
      <w:proofErr w:type="spell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непучковое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расположение). За счет камбия формируются вторичные проводящие ткани (вторичное строение стебля) и происходит рост стебля в толщину. У однодольных растений камбий не закладывается, поэтому стебель формируется только за счет прокамбия (первичное строение стебля) и не растет в толщину. Проводящие пучки у них разбросаны по всей толщине стебля (см. рис.). Кора и сердцевина не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выражены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У злаков центральная часть стебля разрушается и образуется полый стебель, который называется соломиной.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0639B5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Лист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Несмотря на внешнее разнообразие, в большинстве случаев у листьев можно выделить листовую пластинку, черешок, основание листа и прилистники.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Листовая пластинка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 расширенная часть листа, выполняющая его главные функции. В ней различают основание и верхушку.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Черешок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 узкая часть листа. Его наружный конец переходит в расширенное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основание 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листа, которым лист прикрепляется к стеблю. За счет черешка листья могут поворачиваться к свету.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Листья, имеющие черешок, называются черешковыми, а не имеющие — сидячими.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Прилистники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располагаются у основания листа. У одних растений они рано опадают (липа, дуб, береза), у других могут выполнять функции листьев (горох, чина), а у третьих превращаются в колючки (робиния, </w:t>
      </w:r>
      <w:proofErr w:type="spell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караганник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древовидный).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 xml:space="preserve">По внешнему строению листья разделяют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на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простые и сложные. У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простых 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листьев одна листовая пластинка, а у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сложных</w:t>
      </w:r>
      <w:r w:rsidRPr="000639B5">
        <w:rPr>
          <w:rFonts w:ascii="Arial" w:eastAsia="Times New Roman" w:hAnsi="Arial" w:cs="Arial"/>
          <w:b/>
          <w:bCs/>
          <w:color w:val="373A3C"/>
          <w:sz w:val="27"/>
          <w:szCs w:val="27"/>
          <w:lang w:eastAsia="ru-RU"/>
        </w:rPr>
        <w:t> 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их несколько, и каждая может опадать по отдельности. Простые листья по форме листовой пластинки могут быть линейные, округлые, овальные, яйцевидные, ланцетные, сердцевидные, стреловидные, копьевидные, почковидные, а по характеру края листовой пластинки — пальчат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о-</w:t>
      </w:r>
      <w:proofErr w:type="gram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и </w:t>
      </w:r>
      <w:proofErr w:type="spell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перисторасчлененные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. Сложные листья по характеру расположения листовых пластинок разделяются на </w:t>
      </w:r>
      <w:proofErr w:type="spell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пальчатосложные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(каштан, люпин), тройчатосложные (клевер, земляника) и </w:t>
      </w:r>
      <w:proofErr w:type="spell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перистосложные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(рябина, горох).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091326CF" wp14:editId="3EC47A89">
            <wp:extent cx="3333750" cy="3238500"/>
            <wp:effectExtent l="0" t="0" r="0" b="0"/>
            <wp:docPr id="3" name="Рисунок 3" descr="http://profil.adu.by/pluginfile.php/1271/mod_book/chapter/1408/%D0%A0%D0%B8%D1%81_0-13.jpg?time=158496263840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.adu.by/pluginfile.php/1271/mod_book/chapter/1408/%D0%A0%D0%B8%D1%81_0-13.jpg?time=15849626384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Внутреннее строение листа хорошо видно под микроскопом на поперечном срезе листовой пластинки. Снаружи лист покрыт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эпидермисом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. У горизонтально расположенных листьев различают верхний и нижний эпидермис. На верхнем эпидермисе имеется кутикула, восковой налет или </w:t>
      </w:r>
      <w:proofErr w:type="spell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опушение</w:t>
      </w:r>
      <w:proofErr w:type="spellEnd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в нижнем эпидермисе находятся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устьица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Функцию фотосинтеза в листьях выполняет в основном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столбчатая паренхима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Она лежит под верхним эпидермисом и состоит из одного или двух рядов плотно расположенных вытянутых клеток, содержащих много мелких хлоропластов. Под столбчатой паренхимой находится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губчатая паренхима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 большими межклетниками, состоящая из округлых клеток, содержащих небольшое количество хлоропластов. Она выполняет функции газообмена и транспирации. В листьях тенелюбивых растений столбчатая паренхима отсутствует. Внутри листа находятся </w:t>
      </w:r>
      <w:r w:rsidRPr="000639B5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проводящие пучки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(жилки), которые выполняют не только проводящую функцию, но и функцию опоры для мягких тканей листа.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lastRenderedPageBreak/>
        <w:drawing>
          <wp:inline distT="0" distB="0" distL="0" distR="0" wp14:anchorId="129DC179" wp14:editId="4914016B">
            <wp:extent cx="3076575" cy="2990850"/>
            <wp:effectExtent l="0" t="0" r="9525" b="0"/>
            <wp:docPr id="4" name="Рисунок 4" descr="http://profil.adu.by/pluginfile.php/1271/mod_book/chapter/1408/%D0%A0%D0%B8%D1%81_0-1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.adu.by/pluginfile.php/1271/mod_book/chapter/1408/%D0%A0%D0%B8%D1%81_0-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Характер расположения жилок называется </w:t>
      </w:r>
      <w:r w:rsidRPr="000639B5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жилкованием</w:t>
      </w:r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. </w:t>
      </w:r>
      <w:proofErr w:type="gramStart"/>
      <w:r w:rsidRPr="000639B5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Для двудольных растений характерно перистое и пальчатое жилкование, а для однодольных — параллельное и дуговое. </w:t>
      </w:r>
      <w:proofErr w:type="gramEnd"/>
    </w:p>
    <w:p w:rsidR="000639B5" w:rsidRPr="000639B5" w:rsidRDefault="000639B5" w:rsidP="000639B5">
      <w:pPr>
        <w:shd w:val="clear" w:color="auto" w:fill="CDF9FD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Times New Roman" w:eastAsia="Times New Roman" w:hAnsi="Times New Roman" w:cs="Times New Roman"/>
          <w:b/>
          <w:bCs/>
          <w:color w:val="4295BC"/>
          <w:sz w:val="27"/>
          <w:szCs w:val="27"/>
          <w:lang w:eastAsia="ru-RU"/>
        </w:rPr>
        <w:t>Повторим главное. </w:t>
      </w:r>
      <w:r w:rsidRPr="000639B5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Тело растений состоит из вегетативных органов — корня, стебля и листьев. Корни образуют корневую систему — стержневую у </w:t>
      </w:r>
      <w:proofErr w:type="gramStart"/>
      <w:r w:rsidRPr="000639B5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двудольных</w:t>
      </w:r>
      <w:proofErr w:type="gramEnd"/>
      <w:r w:rsidRPr="000639B5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, мочковатую у однодольных. В строении корня различают корневой чехлик и зоны: деления, растяжения и дифференциации, всасывания, проведения. Снаружи корень покрыт </w:t>
      </w:r>
      <w:proofErr w:type="spellStart"/>
      <w:r w:rsidRPr="000639B5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ризодермой</w:t>
      </w:r>
      <w:proofErr w:type="spellEnd"/>
      <w:r w:rsidRPr="000639B5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, внутри его расположен центральный цилиндр из ксилемы и флоэмы. Стебли различаются по степени одревеснения, форме поперечного сечения, характеру расположения в пространстве. Внутреннее строение стебля у древесного растения включает кору (пробка, первичная кора и луб), камбий, древесину и сердцевину. У травянистых растений в стебле имеются проводящие пучки, расположенные по кругу (двудольные) или по всей толщине стебля (однодольные). Лист состоит из листовой пластинки, черешка, основания листа, прилистников. По числу листовых пластинок листья разделяют </w:t>
      </w:r>
      <w:proofErr w:type="gramStart"/>
      <w:r w:rsidRPr="000639B5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на</w:t>
      </w:r>
      <w:proofErr w:type="gramEnd"/>
      <w:r w:rsidRPr="000639B5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 простые и сложные. Снаружи лист покрыт эпидермисом. Под верхним эпидермисом находится столбчатая паренхима, над нижним эпидермисом, содержащим устьица, расположена губчатая паренхима. Внутри листа находятся жилки (сосудисто-волокнистые пучки). Для листьев двудольных растений характерно перистое и пальчатое жилкование, а для листьев однодольных — параллельное и дуговое.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0639B5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Проверим знания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    Ключевые вопросы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1.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 Какие типы корневых систем вы знаете? Из каких видов корней они формируются?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2. 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Назовите зоны корня и их функции.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3. 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Охарактеризуйте внутреннее</w:t>
      </w:r>
      <w:r w:rsidRPr="000639B5">
        <w:rPr>
          <w:rFonts w:ascii="Arial" w:eastAsia="Times New Roman" w:hAnsi="Arial" w:cs="Arial"/>
          <w:b/>
          <w:bCs/>
          <w:color w:val="373A3C"/>
          <w:sz w:val="23"/>
          <w:szCs w:val="23"/>
          <w:lang w:eastAsia="ru-RU"/>
        </w:rPr>
        <w:t>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строение корня в зоне всасывания. Чем оно различается у </w:t>
      </w:r>
      <w:proofErr w:type="gramStart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однодольных</w:t>
      </w:r>
      <w:proofErr w:type="gramEnd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и двудольных?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4. 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Какие структурные компоненты выделяют при характеристике внутреннего строения стебля древесного двудольного растения?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5. 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Установите последовательность расположения структурных частей стебля на спиле 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lastRenderedPageBreak/>
        <w:t xml:space="preserve">дерева, начиная с наружного слоя: а) камбий; б) луб; в) перидерма; г) древесина; д) сердцевина. Назовите различия внутреннего строения стебля у </w:t>
      </w:r>
      <w:proofErr w:type="gramStart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двудольных</w:t>
      </w:r>
      <w:proofErr w:type="gramEnd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и однодольных.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6. 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Чем отличается внутреннее строение листа светолюбивого и тенелюбивого растения?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    Сложные вопросы</w:t>
      </w:r>
    </w:p>
    <w:p w:rsidR="000639B5" w:rsidRPr="000639B5" w:rsidRDefault="000639B5" w:rsidP="000639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1. 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Объясните, почему в древесине стебля видны годичные кольца, а в лубе они отсутствуют.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2. 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Какие закономерности строения растений надо учитывать, применяя искусственное вегетативное размножение?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3. 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Какие видоизменения вегетативных органов способствуют естественному вегетативному размножению, какие из них использует человек в сельском хозяйстве?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4. 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Какие растения — древесные или травянистые — </w:t>
      </w:r>
      <w:proofErr w:type="gramStart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проявляют </w:t>
      </w:r>
      <w:proofErr w:type="spellStart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б</w:t>
      </w:r>
      <w:proofErr w:type="gramEnd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óльшие</w:t>
      </w:r>
      <w:proofErr w:type="spellEnd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способности к естественному вегетативному размножению и почему?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 w:rsidRPr="000639B5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5. </w:t>
      </w:r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При выращивании томатов для повышения урожайности применяют два агротехнических приема: пикировку рассады и </w:t>
      </w:r>
      <w:proofErr w:type="spellStart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пасынкование</w:t>
      </w:r>
      <w:proofErr w:type="spellEnd"/>
      <w:r w:rsidRPr="000639B5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— удаление боковых побегов. В чем заключается биологический смысл этих приемов?</w:t>
      </w:r>
    </w:p>
    <w:p w:rsidR="00BF1F77" w:rsidRDefault="000639B5">
      <w:bookmarkStart w:id="0" w:name="_GoBack"/>
      <w:bookmarkEnd w:id="0"/>
    </w:p>
    <w:sectPr w:rsidR="00BF1F77" w:rsidSect="000639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B5"/>
    <w:rsid w:val="000639B5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593">
              <w:marLeft w:val="225"/>
              <w:marRight w:val="225"/>
              <w:marTop w:val="225"/>
              <w:marBottom w:val="225"/>
              <w:divBdr>
                <w:top w:val="single" w:sz="12" w:space="6" w:color="4584B6"/>
                <w:left w:val="single" w:sz="12" w:space="6" w:color="4584B6"/>
                <w:bottom w:val="single" w:sz="12" w:space="6" w:color="4584B6"/>
                <w:right w:val="single" w:sz="12" w:space="6" w:color="4584B6"/>
              </w:divBdr>
            </w:div>
          </w:divsChild>
        </w:div>
      </w:divsChild>
    </w:div>
    <w:div w:id="764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7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ED3F77"/>
            <w:bottom w:val="none" w:sz="0" w:space="0" w:color="auto"/>
            <w:right w:val="none" w:sz="0" w:space="0" w:color="auto"/>
          </w:divBdr>
        </w:div>
      </w:divsChild>
    </w:div>
    <w:div w:id="212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il.adu.by/pluginfile.php/1271/mod_book/chapter/1407/%D0%A0%D0%B8%D1%81_0-12.jpg?time=158529463541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ofil.adu.by/pluginfile.php/1271/mod_book/chapter/1408/%D0%A0%D0%B8%D1%81_0-14.jpg?time=1584962740173" TargetMode="External"/><Relationship Id="rId5" Type="http://schemas.openxmlformats.org/officeDocument/2006/relationships/hyperlink" Target="http://profil.adu.by/pluginfile.php/1271/mod_book/chapter/1406/%D0%A0%D0%B8%D1%81_0-11.jpg?time=158496210558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ofil.adu.by/pluginfile.php/1271/mod_book/chapter/1408/%D0%A0%D0%B8%D1%81_0-13.jpg?time=15849626867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2112</Words>
  <Characters>12041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2020-09-07T17:22:00Z</dcterms:created>
  <dcterms:modified xsi:type="dcterms:W3CDTF">2020-09-07T17:27:00Z</dcterms:modified>
</cp:coreProperties>
</file>